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様式第１号の１（第６条関係）ＪＲ線のみ利用する場合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ＪＲ木次線利用促進事業補助金実施計画書</w:t>
      </w:r>
    </w:p>
    <w:tbl>
      <w:tblPr>
        <w:tblStyle w:val="50"/>
        <w:tblW w:w="949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29"/>
        <w:gridCol w:w="7"/>
        <w:gridCol w:w="844"/>
        <w:gridCol w:w="3107"/>
        <w:gridCol w:w="588"/>
        <w:gridCol w:w="15"/>
        <w:gridCol w:w="531"/>
        <w:gridCol w:w="2576"/>
      </w:tblGrid>
      <w:tr>
        <w:trPr/>
        <w:tc>
          <w:tcPr>
            <w:tcW w:w="5787" w:type="dxa"/>
            <w:gridSpan w:val="4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木次線利活用推進協議会　会長　様</w:t>
            </w:r>
          </w:p>
        </w:tc>
        <w:tc>
          <w:tcPr>
            <w:tcW w:w="1134" w:type="dxa"/>
            <w:gridSpan w:val="3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57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867" w:hRule="atLeast"/>
        </w:trPr>
        <w:tc>
          <w:tcPr>
            <w:tcW w:w="182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①申請者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（又は代理人）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  <w:highlight w:val="none"/>
              </w:rPr>
              <w:t>旅行会社</w:t>
            </w:r>
            <w:r>
              <w:rPr>
                <w:rFonts w:hint="eastAsia"/>
                <w:sz w:val="16"/>
              </w:rPr>
              <w:t>等の場合は、会社名と施設代表者名等を記入</w:t>
            </w:r>
          </w:p>
        </w:tc>
        <w:tc>
          <w:tcPr>
            <w:tcW w:w="851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〒　　　</w:t>
            </w:r>
            <w:r>
              <w:rPr>
                <w:rFonts w:hint="eastAsia"/>
                <w:u w:val="single" w:color="auto"/>
              </w:rPr>
              <w:t>-</w:t>
            </w:r>
            <w:r>
              <w:rPr>
                <w:rFonts w:hint="eastAsia"/>
                <w:u w:val="single" w:color="auto"/>
              </w:rPr>
              <w:t>　　　</w:t>
            </w:r>
          </w:p>
          <w:p>
            <w:pPr>
              <w:pStyle w:val="0"/>
              <w:spacing w:before="139" w:beforeLines="50" w:beforeAutospacing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　　市・郡　　　　　　　町</w:t>
            </w:r>
          </w:p>
        </w:tc>
      </w:tr>
      <w:tr>
        <w:trPr>
          <w:trHeight w:val="653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電話番号（担当　　　　　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1836" w:type="dxa"/>
            <w:gridSpan w:val="2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②利用者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①と同じの場合は記入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不要</w:t>
            </w:r>
          </w:p>
        </w:tc>
        <w:tc>
          <w:tcPr>
            <w:tcW w:w="8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17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　市・郡　　　　　　　町</w:t>
            </w:r>
          </w:p>
        </w:tc>
      </w:tr>
      <w:tr>
        <w:trPr>
          <w:trHeight w:val="630" w:hRule="atLeast"/>
        </w:trPr>
        <w:tc>
          <w:tcPr>
            <w:tcW w:w="1836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1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107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483" w:hRule="atLeast"/>
        </w:trPr>
        <w:tc>
          <w:tcPr>
            <w:tcW w:w="9497" w:type="dxa"/>
            <w:gridSpan w:val="8"/>
            <w:tcBorders>
              <w:top w:val="single" w:color="auto" w:sz="18" w:space="0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ＪＲ木次線利用促進事業補助金交付要綱第６条に基づき、関係書類を添えて提出します。</w:t>
            </w:r>
          </w:p>
        </w:tc>
      </w:tr>
      <w:tr>
        <w:trPr>
          <w:trHeight w:val="665" w:hRule="atLeast"/>
        </w:trPr>
        <w:tc>
          <w:tcPr>
            <w:tcW w:w="1829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③利用目的</w:t>
            </w:r>
          </w:p>
        </w:tc>
        <w:tc>
          <w:tcPr>
            <w:tcW w:w="7668" w:type="dxa"/>
            <w:gridSpan w:val="7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□旅行　　□視察　　□研修　　□遠足　　□部活動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>
        <w:trPr>
          <w:trHeight w:val="1035" w:hRule="atLeast"/>
        </w:trPr>
        <w:tc>
          <w:tcPr>
            <w:tcW w:w="182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④ＪＲ利用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区間等</w:t>
            </w:r>
            <w:r>
              <w:rPr>
                <w:rFonts w:hint="eastAsia"/>
              </w:rPr>
              <w:t>*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利用１</w:t>
            </w: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　（　時　分発）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</w:t>
            </w:r>
            <w:r>
              <w:rPr>
                <w:rFonts w:hint="eastAsia"/>
                <w:u w:val="dotted" w:color="auto"/>
              </w:rPr>
              <w:t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人）</w:t>
            </w:r>
          </w:p>
        </w:tc>
      </w:tr>
      <w:tr>
        <w:trPr>
          <w:trHeight w:val="762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乗車券料金・特急券料金・指定席料金等の合計額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円【Ａ】</w:t>
            </w:r>
          </w:p>
        </w:tc>
      </w:tr>
      <w:tr>
        <w:trPr>
          <w:trHeight w:val="665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利用２</w:t>
            </w: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　（　時　分発）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</w:t>
            </w:r>
            <w:r>
              <w:rPr>
                <w:rFonts w:hint="eastAsia"/>
                <w:u w:val="dotted" w:color="auto"/>
              </w:rPr>
              <w:t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人）</w:t>
            </w:r>
          </w:p>
        </w:tc>
      </w:tr>
      <w:tr>
        <w:trPr>
          <w:trHeight w:val="735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乗車券料金・特急券料金・指定席料金等の合計額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円【Ｂ】</w:t>
            </w:r>
          </w:p>
        </w:tc>
      </w:tr>
      <w:tr>
        <w:trPr>
          <w:trHeight w:val="810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ＪＲ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利用３</w:t>
            </w: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dotted" w:color="auto"/>
              </w:rPr>
              <w:t>　　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利用区間　（乗車）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　（　時　分発）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（降車）</w:t>
            </w:r>
            <w:r>
              <w:rPr>
                <w:rFonts w:hint="eastAsia"/>
                <w:u w:val="dotted" w:color="auto"/>
              </w:rPr>
              <w:t>　　　　　</w:t>
            </w:r>
            <w:r>
              <w:rPr>
                <w:rFonts w:hint="eastAsia"/>
              </w:rPr>
              <w:t>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利用者数　</w:t>
            </w:r>
            <w:r>
              <w:rPr>
                <w:rFonts w:hint="eastAsia"/>
                <w:u w:val="dotted" w:color="auto"/>
              </w:rPr>
              <w:t>　　　　</w:t>
            </w:r>
            <w:r>
              <w:rPr>
                <w:rFonts w:hint="eastAsia"/>
              </w:rPr>
              <w:t>人、（うち未就学児</w:t>
            </w:r>
            <w:r>
              <w:rPr>
                <w:rFonts w:hint="eastAsia"/>
                <w:u w:val="dotted" w:color="auto"/>
              </w:rPr>
              <w:t>　　　</w:t>
            </w:r>
            <w:r>
              <w:rPr>
                <w:rFonts w:hint="eastAsia"/>
              </w:rPr>
              <w:t>人）</w:t>
            </w:r>
          </w:p>
        </w:tc>
      </w:tr>
      <w:tr>
        <w:trPr>
          <w:trHeight w:val="789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乗車券料金・特急券料金・指定席料金等の合計額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</w:t>
            </w:r>
            <w:r>
              <w:rPr>
                <w:rFonts w:hint="eastAsia"/>
              </w:rPr>
              <w:t>円【Ｃ】</w:t>
            </w:r>
          </w:p>
        </w:tc>
      </w:tr>
      <w:tr>
        <w:trPr>
          <w:trHeight w:val="1042" w:hRule="atLeast"/>
        </w:trPr>
        <w:tc>
          <w:tcPr>
            <w:tcW w:w="182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補足</w:t>
            </w:r>
          </w:p>
        </w:tc>
        <w:tc>
          <w:tcPr>
            <w:tcW w:w="68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182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⑤補助金申請額</w:t>
            </w:r>
          </w:p>
        </w:tc>
        <w:tc>
          <w:tcPr>
            <w:tcW w:w="766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（【Ａ】＋【Ｂ】＋【Ｃ】）×</w:t>
            </w:r>
            <w:r>
              <w:rPr>
                <w:rFonts w:hint="eastAsia"/>
              </w:rPr>
              <w:t>100/110</w:t>
            </w:r>
            <w:r>
              <w:rPr>
                <w:rFonts w:hint="eastAsia"/>
              </w:rPr>
              <w:t>　＝　</w:t>
            </w:r>
            <w:r>
              <w:rPr>
                <w:rFonts w:hint="eastAsia"/>
                <w:u w:val="dotted" w:color="auto"/>
              </w:rPr>
              <w:t>　　　　　　　　　</w:t>
            </w:r>
            <w:r>
              <w:rPr>
                <w:rFonts w:hint="eastAsia"/>
              </w:rPr>
              <w:t>円（税抜額）【Ｄ】　　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【Ｄ】×１／２　＝　</w:t>
            </w:r>
            <w:r>
              <w:rPr>
                <w:rFonts w:hint="eastAsia"/>
                <w:u w:val="double" w:color="auto"/>
              </w:rPr>
              <w:t>　　　　　　　　　</w:t>
            </w:r>
            <w:r>
              <w:rPr>
                <w:rFonts w:hint="eastAsia"/>
              </w:rPr>
              <w:t>円（申請額）</w:t>
            </w:r>
            <w:r>
              <w:rPr>
                <w:rFonts w:hint="eastAsia"/>
                <w:highlight w:val="none"/>
              </w:rPr>
              <w:t>（端数切捨て）</w:t>
            </w:r>
          </w:p>
        </w:tc>
      </w:tr>
      <w:tr>
        <w:trPr>
          <w:trHeight w:val="497" w:hRule="atLeast"/>
        </w:trPr>
        <w:tc>
          <w:tcPr>
            <w:tcW w:w="182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⑥協議会からの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交付決定通知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等の受取方法</w:t>
            </w:r>
          </w:p>
        </w:tc>
        <w:tc>
          <w:tcPr>
            <w:tcW w:w="7668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郵送　　・　□　ファクシミリ（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　　　　－　　　－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メール　（　　　　　　　　　　＠　　　　　　　　　　　）</w:t>
            </w:r>
          </w:p>
          <w:p>
            <w:pPr>
              <w:pStyle w:val="0"/>
              <w:ind w:left="460" w:leftChars="219"/>
              <w:rPr>
                <w:rFonts w:hint="default"/>
              </w:rPr>
            </w:pPr>
            <w:r>
              <w:rPr>
                <w:rFonts w:hint="default"/>
                <w:color w:val="auto"/>
                <w:sz w:val="18"/>
              </w:rPr>
              <w:t>kisuki</w:t>
            </w:r>
            <w:r>
              <w:rPr>
                <w:rFonts w:hint="eastAsia"/>
                <w:color w:val="auto"/>
                <w:sz w:val="18"/>
              </w:rPr>
              <w:t>-</w:t>
            </w:r>
            <w:r>
              <w:rPr>
                <w:rFonts w:hint="default"/>
                <w:color w:val="auto"/>
                <w:sz w:val="18"/>
              </w:rPr>
              <w:t>line</w:t>
            </w:r>
            <w:r>
              <w:rPr>
                <w:rFonts w:hint="eastAsia"/>
                <w:color w:val="auto"/>
                <w:sz w:val="18"/>
              </w:rPr>
              <w:t>@city.unnan.shimane.jp</w:t>
            </w:r>
            <w:r>
              <w:rPr>
                <w:rFonts w:hint="eastAsia"/>
                <w:color w:val="auto"/>
                <w:sz w:val="18"/>
              </w:rPr>
              <w:t>から受信できるよう設定してください。</w:t>
            </w:r>
            <w:r>
              <w:rPr>
                <w:rFonts w:hint="eastAsia"/>
                <w:color w:val="FF0000"/>
                <w:sz w:val="18"/>
              </w:rPr>
              <w:t>　　　　　　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default"/>
          <w:sz w:val="18"/>
        </w:rPr>
        <w:br w:type="page"/>
      </w:r>
    </w:p>
    <w:p>
      <w:pPr>
        <w:pStyle w:val="0"/>
        <w:rPr>
          <w:rFonts w:hint="default"/>
          <w:sz w:val="18"/>
        </w:rPr>
      </w:pPr>
    </w:p>
    <w:p>
      <w:pPr>
        <w:pStyle w:val="44"/>
        <w:numPr>
          <w:ilvl w:val="0"/>
          <w:numId w:val="1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補助対象となるＪＲ運賃の対象区間等</w:t>
      </w:r>
    </w:p>
    <w:tbl>
      <w:tblPr>
        <w:tblStyle w:val="50"/>
        <w:tblW w:w="9089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5245"/>
        <w:gridCol w:w="2432"/>
      </w:tblGrid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補助対象</w:t>
            </w:r>
          </w:p>
        </w:tc>
        <w:tc>
          <w:tcPr>
            <w:tcW w:w="2432" w:type="dxa"/>
            <w:vAlign w:val="top"/>
          </w:tcPr>
          <w:p>
            <w:pPr>
              <w:pStyle w:val="44"/>
              <w:ind w:left="0"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補助対象外</w:t>
            </w:r>
          </w:p>
        </w:tc>
      </w:tr>
      <w:tr>
        <w:trPr/>
        <w:tc>
          <w:tcPr>
            <w:tcW w:w="1412" w:type="dxa"/>
            <w:vAlign w:val="top"/>
          </w:tcPr>
          <w:p>
            <w:pPr>
              <w:pStyle w:val="44"/>
              <w:ind w:left="0" w:leftChars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ＪＲ運賃</w:t>
            </w:r>
          </w:p>
        </w:tc>
        <w:tc>
          <w:tcPr>
            <w:tcW w:w="5245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ＪＲ木次線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宍道～備後落合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【必須】のほか、山陰本線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安来～飯浦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・芸備線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備中神代～広島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・山口線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益田～津和野</w:t>
            </w:r>
            <w:r>
              <w:rPr>
                <w:rFonts w:hint="eastAsia"/>
                <w:sz w:val="18"/>
              </w:rPr>
              <w:t xml:space="preserve">) </w:t>
            </w:r>
            <w:r>
              <w:rPr>
                <w:rFonts w:hint="eastAsia"/>
                <w:sz w:val="18"/>
              </w:rPr>
              <w:t>の乗車区間の運賃・特急料金・指定席料金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奥出雲おろち号を含む。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  <w:highlight w:val="none"/>
              </w:rPr>
              <w:t>普通列車の指定席グリーン券（あめつちのみ）</w:t>
            </w:r>
          </w:p>
        </w:tc>
        <w:tc>
          <w:tcPr>
            <w:tcW w:w="2432" w:type="dxa"/>
            <w:vAlign w:val="top"/>
          </w:tcPr>
          <w:p>
            <w:pPr>
              <w:pStyle w:val="44"/>
              <w:ind w:left="0" w:leftChars="0"/>
              <w:rPr>
                <w:rFonts w:hint="eastAsia" w:eastAsiaTheme="minorEastAsia"/>
                <w:sz w:val="18"/>
              </w:rPr>
            </w:pPr>
            <w:r>
              <w:rPr>
                <w:rFonts w:hint="eastAsia"/>
                <w:sz w:val="18"/>
              </w:rPr>
              <w:t>一畑電車、</w:t>
            </w:r>
            <w:r>
              <w:rPr>
                <w:rFonts w:hint="eastAsia"/>
                <w:sz w:val="18"/>
                <w:u w:val="wave" w:color="auto"/>
              </w:rPr>
              <w:t>島根県外の</w:t>
            </w:r>
            <w:r>
              <w:rPr>
                <w:rFonts w:hint="eastAsia"/>
                <w:sz w:val="18"/>
              </w:rPr>
              <w:t>鉄道乗車運賃・特急料金・指定席料金及びグリーン席特急券、</w:t>
            </w:r>
            <w:r>
              <w:rPr>
                <w:rFonts w:hint="eastAsia"/>
                <w:sz w:val="18"/>
                <w:highlight w:val="none"/>
              </w:rPr>
              <w:t>特別割引切符</w:t>
            </w:r>
          </w:p>
        </w:tc>
      </w:tr>
    </w:tbl>
    <w:p>
      <w:pPr>
        <w:pStyle w:val="44"/>
        <w:numPr>
          <w:ilvl w:val="0"/>
          <w:numId w:val="2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補助金申請額は、消費税額を除くこと。</w:t>
      </w:r>
    </w:p>
    <w:p>
      <w:pPr>
        <w:pStyle w:val="44"/>
        <w:numPr>
          <w:ilvl w:val="0"/>
          <w:numId w:val="2"/>
        </w:numPr>
        <w:ind w:leftChars="0"/>
        <w:rPr>
          <w:rFonts w:hint="default"/>
          <w:sz w:val="18"/>
        </w:rPr>
      </w:pPr>
      <w:r>
        <w:rPr>
          <w:rFonts w:hint="eastAsia"/>
          <w:sz w:val="18"/>
        </w:rPr>
        <w:t>ＪＲ利用が３つ以上ある場合、「補足欄」に利用日、利用区間、利用人数、料金を記入し、「⑤補助金申請額欄」に補足欄に記入した料金も加えた額を記入すること。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＊「おとな」と「こども」の区分</w:t>
      </w:r>
    </w:p>
    <w:tbl>
      <w:tblPr>
        <w:tblStyle w:val="50"/>
        <w:tblW w:w="7654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7"/>
        <w:gridCol w:w="6237"/>
      </w:tblGrid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おとな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１２歳以上（１２歳でも小学生は「こども」）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こども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６歳～１２歳未満（６歳でも小学校入学前は「幼児」）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幼　児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１歳～６歳未満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乳　児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１歳未満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1247" w:left="1247" w:header="720" w:footer="720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5D597267"/>
    <w:lvl w:ilvl="0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67C70E4A"/>
    <w:lvl w:ilvl="0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28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9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30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31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32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33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paragraph" w:styleId="16">
    <w:name w:val="footer"/>
    <w:basedOn w:val="0"/>
    <w:next w:val="16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47"/>
    <w:uiPriority w:val="0"/>
    <w:semiHidden/>
    <w:qFormat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Subtitle"/>
    <w:basedOn w:val="0"/>
    <w:next w:val="0"/>
    <w:link w:val="34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20">
    <w:name w:val="Strong"/>
    <w:basedOn w:val="10"/>
    <w:next w:val="20"/>
    <w:link w:val="0"/>
    <w:uiPriority w:val="0"/>
    <w:qFormat/>
    <w:rPr>
      <w:b w:val="1"/>
    </w:rPr>
  </w:style>
  <w:style w:type="character" w:styleId="21">
    <w:name w:val="Hyperlink"/>
    <w:basedOn w:val="10"/>
    <w:next w:val="21"/>
    <w:link w:val="0"/>
    <w:uiPriority w:val="0"/>
    <w:qFormat/>
    <w:rPr>
      <w:color w:val="0000FF" w:themeColor="hyperlink"/>
      <w:u w:val="single" w:color="auto"/>
      <w14:textFill>
        <w14:solidFill>
          <w14:schemeClr w14:val="hlink"/>
        </w14:solidFill>
      </w14:textFill>
    </w:rPr>
  </w:style>
  <w:style w:type="character" w:styleId="22">
    <w:name w:val="FollowedHyperlink"/>
    <w:basedOn w:val="10"/>
    <w:next w:val="22"/>
    <w:link w:val="0"/>
    <w:uiPriority w:val="0"/>
    <w:qFormat/>
    <w:rPr>
      <w:color w:val="800080" w:themeColor="followedHyperlink"/>
      <w:u w:val="single" w:color="auto"/>
      <w14:textFill>
        <w14:solidFill>
          <w14:schemeClr w14:val="folHlink"/>
        </w14:solidFill>
      </w14:textFill>
    </w:rPr>
  </w:style>
  <w:style w:type="character" w:styleId="23">
    <w:name w:val="Emphasis"/>
    <w:basedOn w:val="10"/>
    <w:next w:val="23"/>
    <w:link w:val="0"/>
    <w:uiPriority w:val="0"/>
    <w:qFormat/>
    <w:rPr>
      <w:i w:val="1"/>
    </w:rPr>
  </w:style>
  <w:style w:type="character" w:styleId="24" w:customStyle="1">
    <w:name w:val="見出し 1 (文字)"/>
    <w:basedOn w:val="10"/>
    <w:next w:val="24"/>
    <w:link w:val="1"/>
    <w:uiPriority w:val="0"/>
    <w:qFormat/>
    <w:rPr>
      <w:rFonts w:asciiTheme="majorHAnsi" w:hAnsiTheme="majorHAnsi" w:eastAsiaTheme="majorEastAsia"/>
      <w:sz w:val="24"/>
    </w:rPr>
  </w:style>
  <w:style w:type="character" w:styleId="25" w:customStyle="1">
    <w:name w:val="見出し 2 (文字)"/>
    <w:basedOn w:val="10"/>
    <w:next w:val="25"/>
    <w:link w:val="2"/>
    <w:uiPriority w:val="0"/>
    <w:qFormat/>
    <w:rPr>
      <w:rFonts w:asciiTheme="majorHAnsi" w:hAnsiTheme="majorHAnsi" w:eastAsiaTheme="majorEastAsia"/>
    </w:rPr>
  </w:style>
  <w:style w:type="character" w:styleId="26" w:customStyle="1">
    <w:name w:val="見出し 3 (文字)"/>
    <w:basedOn w:val="10"/>
    <w:next w:val="26"/>
    <w:link w:val="3"/>
    <w:uiPriority w:val="0"/>
    <w:qFormat/>
    <w:rPr>
      <w:rFonts w:asciiTheme="majorHAnsi" w:hAnsiTheme="majorHAnsi" w:eastAsiaTheme="majorEastAsia"/>
    </w:rPr>
  </w:style>
  <w:style w:type="character" w:styleId="27" w:customStyle="1">
    <w:name w:val="見出し 4 (文字)"/>
    <w:basedOn w:val="10"/>
    <w:next w:val="27"/>
    <w:link w:val="4"/>
    <w:uiPriority w:val="0"/>
    <w:qFormat/>
    <w:rPr>
      <w:b w:val="1"/>
    </w:rPr>
  </w:style>
  <w:style w:type="character" w:styleId="28" w:customStyle="1">
    <w:name w:val="見出し 5 (文字)"/>
    <w:basedOn w:val="10"/>
    <w:next w:val="28"/>
    <w:link w:val="5"/>
    <w:uiPriority w:val="0"/>
    <w:qFormat/>
    <w:rPr>
      <w:rFonts w:asciiTheme="majorHAnsi" w:hAnsiTheme="majorHAnsi" w:eastAsiaTheme="majorEastAsia"/>
    </w:rPr>
  </w:style>
  <w:style w:type="character" w:styleId="29" w:customStyle="1">
    <w:name w:val="見出し 6 (文字)"/>
    <w:basedOn w:val="10"/>
    <w:next w:val="29"/>
    <w:link w:val="6"/>
    <w:uiPriority w:val="0"/>
    <w:qFormat/>
    <w:rPr>
      <w:b w:val="1"/>
    </w:rPr>
  </w:style>
  <w:style w:type="character" w:styleId="30" w:customStyle="1">
    <w:name w:val="見出し 7 (文字)"/>
    <w:basedOn w:val="10"/>
    <w:next w:val="30"/>
    <w:link w:val="7"/>
    <w:uiPriority w:val="0"/>
    <w:qFormat/>
  </w:style>
  <w:style w:type="character" w:styleId="31" w:customStyle="1">
    <w:name w:val="見出し 8 (文字)"/>
    <w:basedOn w:val="10"/>
    <w:next w:val="31"/>
    <w:link w:val="8"/>
    <w:uiPriority w:val="0"/>
    <w:qFormat/>
  </w:style>
  <w:style w:type="character" w:styleId="32" w:customStyle="1">
    <w:name w:val="見出し 9 (文字)"/>
    <w:basedOn w:val="10"/>
    <w:next w:val="32"/>
    <w:link w:val="9"/>
    <w:uiPriority w:val="0"/>
    <w:qFormat/>
  </w:style>
  <w:style w:type="character" w:styleId="33" w:customStyle="1">
    <w:name w:val="表題 (文字)"/>
    <w:basedOn w:val="10"/>
    <w:next w:val="33"/>
    <w:link w:val="15"/>
    <w:uiPriority w:val="0"/>
    <w:qFormat/>
    <w:rPr>
      <w:rFonts w:eastAsia="ＭＳ ゴシック" w:asciiTheme="majorHAnsi" w:hAnsiTheme="majorHAnsi"/>
      <w:sz w:val="32"/>
    </w:rPr>
  </w:style>
  <w:style w:type="character" w:styleId="34" w:customStyle="1">
    <w:name w:val="副題 (文字)"/>
    <w:basedOn w:val="10"/>
    <w:next w:val="34"/>
    <w:link w:val="19"/>
    <w:uiPriority w:val="0"/>
    <w:qFormat/>
    <w:rPr>
      <w:rFonts w:eastAsia="ＭＳ ゴシック" w:asciiTheme="majorHAnsi" w:hAnsiTheme="majorHAnsi"/>
      <w:sz w:val="24"/>
    </w:rPr>
  </w:style>
  <w:style w:type="character" w:styleId="35">
    <w:name w:val="Subtle Emphasis"/>
    <w:basedOn w:val="10"/>
    <w:next w:val="35"/>
    <w:link w:val="0"/>
    <w:uiPriority w:val="0"/>
    <w:qFormat/>
    <w:rPr>
      <w:i w:val="1"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styleId="36">
    <w:name w:val="Intense Emphasis"/>
    <w:basedOn w:val="10"/>
    <w:next w:val="36"/>
    <w:link w:val="0"/>
    <w:uiPriority w:val="0"/>
    <w:qFormat/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paragraph" w:styleId="37">
    <w:name w:val="Quote"/>
    <w:basedOn w:val="0"/>
    <w:next w:val="0"/>
    <w:link w:val="38"/>
    <w:uiPriority w:val="0"/>
    <w:qFormat/>
    <w:rPr>
      <w:i w:val="1"/>
      <w:color w:val="000000" w:themeColor="text1"/>
      <w14:textFill>
        <w14:solidFill>
          <w14:schemeClr w14:val="tx1"/>
        </w14:solidFill>
      </w14:textFill>
    </w:rPr>
  </w:style>
  <w:style w:type="character" w:styleId="38" w:customStyle="1">
    <w:name w:val="引用文 (文字)"/>
    <w:basedOn w:val="10"/>
    <w:next w:val="38"/>
    <w:link w:val="37"/>
    <w:uiPriority w:val="0"/>
    <w:qFormat/>
    <w:rPr>
      <w:i w:val="1"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0"/>
    <w:next w:val="0"/>
    <w:link w:val="40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character" w:styleId="40" w:customStyle="1">
    <w:name w:val="引用文 2 (文字)"/>
    <w:basedOn w:val="10"/>
    <w:next w:val="40"/>
    <w:link w:val="39"/>
    <w:uiPriority w:val="0"/>
    <w:qFormat/>
    <w:rPr>
      <w:b w:val="1"/>
      <w:i w:val="1"/>
      <w:color w:val="4F81BD" w:themeColor="accent1"/>
      <w14:textFill>
        <w14:solidFill>
          <w14:schemeClr w14:val="accent1"/>
        </w14:solidFill>
      </w14:textFill>
    </w:rPr>
  </w:style>
  <w:style w:type="character" w:styleId="41">
    <w:name w:val="Subtle Reference"/>
    <w:basedOn w:val="10"/>
    <w:next w:val="41"/>
    <w:link w:val="0"/>
    <w:uiPriority w:val="0"/>
    <w:qFormat/>
    <w:rPr>
      <w:smallCaps w:val="1"/>
      <w:color w:val="C0504D" w:themeColor="accent2"/>
      <w:u w:val="single" w:color="auto"/>
      <w14:textFill>
        <w14:solidFill>
          <w14:schemeClr w14:val="accent2"/>
        </w14:solidFill>
      </w14:textFill>
    </w:rPr>
  </w:style>
  <w:style w:type="character" w:styleId="42">
    <w:name w:val="Intense Reference"/>
    <w:basedOn w:val="10"/>
    <w:next w:val="42"/>
    <w:link w:val="0"/>
    <w:uiPriority w:val="0"/>
    <w:qFormat/>
    <w:rPr>
      <w:b w:val="1"/>
      <w:smallCaps w:val="1"/>
      <w:color w:val="C0504D" w:themeColor="accent2"/>
      <w:spacing w:val="5"/>
      <w:u w:val="single" w:color="auto"/>
      <w14:textFill>
        <w14:solidFill>
          <w14:schemeClr w14:val="accent2"/>
        </w14:solidFill>
      </w14:textFill>
    </w:rPr>
  </w:style>
  <w:style w:type="character" w:styleId="43">
    <w:name w:val="Book Title"/>
    <w:basedOn w:val="10"/>
    <w:next w:val="43"/>
    <w:link w:val="0"/>
    <w:uiPriority w:val="0"/>
    <w:qFormat/>
    <w:rPr>
      <w:b w:val="1"/>
      <w:smallCaps w:val="1"/>
      <w:spacing w:val="5"/>
    </w:rPr>
  </w:style>
  <w:style w:type="paragraph" w:styleId="44">
    <w:name w:val="List Paragraph"/>
    <w:basedOn w:val="0"/>
    <w:next w:val="44"/>
    <w:link w:val="0"/>
    <w:uiPriority w:val="0"/>
    <w:qFormat/>
    <w:pPr>
      <w:ind w:left="840" w:leftChars="400"/>
    </w:pPr>
  </w:style>
  <w:style w:type="character" w:styleId="45" w:customStyle="1">
    <w:name w:val="ヘッダー (文字)"/>
    <w:basedOn w:val="10"/>
    <w:next w:val="45"/>
    <w:link w:val="18"/>
    <w:uiPriority w:val="0"/>
    <w:qFormat/>
  </w:style>
  <w:style w:type="character" w:styleId="46" w:customStyle="1">
    <w:name w:val="フッター (文字)"/>
    <w:basedOn w:val="10"/>
    <w:next w:val="46"/>
    <w:link w:val="16"/>
    <w:uiPriority w:val="0"/>
    <w:qFormat/>
  </w:style>
  <w:style w:type="character" w:styleId="47" w:customStyle="1">
    <w:name w:val="吹き出し (文字)"/>
    <w:basedOn w:val="10"/>
    <w:next w:val="47"/>
    <w:link w:val="17"/>
    <w:uiPriority w:val="0"/>
    <w:qFormat/>
    <w:rPr>
      <w:rFonts w:asciiTheme="majorHAnsi" w:hAnsiTheme="majorHAnsi" w:eastAsiaTheme="majorEastAsia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2</Pages>
  <Words>9</Words>
  <Characters>952</Characters>
  <Application>JUST Note</Application>
  <Lines>241</Lines>
  <Paragraphs>79</Paragraphs>
  <CharactersWithSpaces>1232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2021-05-21T07:45:00Z</dcterms:created>
  <dcterms:modified xsi:type="dcterms:W3CDTF">2022-05-18T03:48:55Z</dcterms:modified>
  <cp:revision>16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1041-11.8.2.8498</vt:lpwstr>
  </property>
</Properties>
</file>